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0AC2" w14:textId="77777777" w:rsidR="00680F96" w:rsidRPr="000E736E" w:rsidRDefault="00680F96" w:rsidP="00680F9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Cognition and Learning: </w:t>
      </w:r>
      <w:r>
        <w:rPr>
          <w:rFonts w:asciiTheme="majorHAnsi" w:hAnsiTheme="majorHAnsi" w:cstheme="majorBidi"/>
          <w:sz w:val="28"/>
          <w:szCs w:val="28"/>
        </w:rPr>
        <w:t>Definition, Presenting Needs &amp; Recommended Interventions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2124"/>
        <w:gridCol w:w="1020"/>
        <w:gridCol w:w="2562"/>
        <w:gridCol w:w="2560"/>
        <w:gridCol w:w="5124"/>
      </w:tblGrid>
      <w:tr w:rsidR="00680F96" w:rsidRPr="000E736E" w14:paraId="0FA494B3" w14:textId="77777777" w:rsidTr="04F908FE">
        <w:trPr>
          <w:jc w:val="center"/>
        </w:trPr>
        <w:tc>
          <w:tcPr>
            <w:tcW w:w="197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6FD79428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E736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Cognition and Learning</w:t>
            </w:r>
          </w:p>
        </w:tc>
        <w:tc>
          <w:tcPr>
            <w:tcW w:w="21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5BC103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736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Specific Learning Difficulties (</w:t>
            </w:r>
            <w:proofErr w:type="spellStart"/>
            <w:r w:rsidRPr="000E736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SpLD</w:t>
            </w:r>
            <w:proofErr w:type="spellEnd"/>
            <w:r w:rsidRPr="000E736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085AF2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Definition:</w:t>
            </w:r>
          </w:p>
          <w:p w14:paraId="0695BB00" w14:textId="77777777" w:rsidR="00680F96" w:rsidRPr="000E736E" w:rsidRDefault="00680F96" w:rsidP="00A47192">
            <w:pPr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 xml:space="preserve">CYP with </w:t>
            </w:r>
            <w:proofErr w:type="spellStart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>SpLD</w:t>
            </w:r>
            <w:proofErr w:type="spellEnd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 xml:space="preserve"> have a particular difficulty in learning to read, write, </w:t>
            </w:r>
            <w:proofErr w:type="gramStart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>spell</w:t>
            </w:r>
            <w:proofErr w:type="gramEnd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 xml:space="preserve"> or manipulate numbers so that their performance in these areas is below their performance in other areas. These difficulties persist despite targeted evidence-based interventions CYP may have been identified as having dyslexia, dyspraxia (Developmental Coordination Disorder), dysgraphia or dyscalculia.  Formal diagnosis is not required </w:t>
            </w:r>
            <w:r w:rsidRPr="000E736E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and some</w:t>
            </w:r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 xml:space="preserve"> CYP with </w:t>
            </w:r>
            <w:proofErr w:type="spellStart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>SpLD</w:t>
            </w:r>
            <w:proofErr w:type="spellEnd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 xml:space="preserve"> may be able access a full curriculum with reasonable adjustments and would not be placed on the SEN register.</w:t>
            </w:r>
          </w:p>
          <w:p w14:paraId="3933B49C" w14:textId="77777777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0F96" w:rsidRPr="000E736E" w14:paraId="150D1637" w14:textId="77777777" w:rsidTr="04F908FE">
        <w:trPr>
          <w:jc w:val="center"/>
        </w:trPr>
        <w:tc>
          <w:tcPr>
            <w:tcW w:w="1978" w:type="dxa"/>
            <w:vMerge/>
          </w:tcPr>
          <w:p w14:paraId="37E94A34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0BD0890E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2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26A198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 xml:space="preserve">Possible evidence that supports identified </w:t>
            </w:r>
            <w:proofErr w:type="gramStart"/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need</w:t>
            </w:r>
            <w:proofErr w:type="gramEnd"/>
          </w:p>
          <w:p w14:paraId="17123750" w14:textId="77777777" w:rsidR="00680F96" w:rsidRPr="000E736E" w:rsidRDefault="00680F96" w:rsidP="00680F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Cognitive assessment by a Specialist Teacher or EP shows weaknesses/atypical learning strategies or abilities which are affecting CYP’s ability to learn and/or retain skills &amp; information in a particular 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area</w:t>
            </w:r>
            <w:proofErr w:type="gram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0E0AB8A" w14:textId="77777777" w:rsidR="00680F96" w:rsidRPr="000E736E" w:rsidRDefault="00680F96" w:rsidP="00680F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Assessment as part of the APDR cycle indicates over time that the CYP is making limited progress despite high quality teaching and appropriate individual provision targeting their specific area of 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difficulty</w:t>
            </w:r>
            <w:proofErr w:type="gram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6219ECE" w14:textId="77777777" w:rsidR="00680F96" w:rsidRPr="000E736E" w:rsidRDefault="00680F96" w:rsidP="00680F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Further assessment has ruled out an underlying attention and/or memory difficulty caused by a speech, 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language</w:t>
            </w:r>
            <w:proofErr w:type="gram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and communication need (SLCN) or a social, emotional and mental health need (SEMH)</w:t>
            </w:r>
          </w:p>
          <w:p w14:paraId="42D61E3A" w14:textId="77777777" w:rsidR="00680F96" w:rsidRPr="000E736E" w:rsidRDefault="00680F96" w:rsidP="00680F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Several APDR cycles show that the CYP requires ongoing, evidence-based targeted intervention to support acquisition of skills in areas of difficulty (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proofErr w:type="gram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if dyslexia, targeted intervention will likely focus on Literacy)</w:t>
            </w:r>
          </w:p>
          <w:p w14:paraId="2B52654C" w14:textId="77777777" w:rsidR="00680F96" w:rsidRPr="000E736E" w:rsidRDefault="00680F96" w:rsidP="00680F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Attainment data is likely to show attainment is significantly below expected levels in specific </w:t>
            </w:r>
            <w:proofErr w:type="gram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areas</w:t>
            </w:r>
            <w:proofErr w:type="gram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304E05D" w14:textId="77777777" w:rsidR="00680F96" w:rsidRPr="000E736E" w:rsidRDefault="00680F96" w:rsidP="00680F9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Ongoing involvement of parents/carers and the CYP in the APDR cycle</w:t>
            </w:r>
          </w:p>
          <w:p w14:paraId="3D201BC3" w14:textId="77777777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4DD5BB" w14:textId="1E91EAAD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NB: It is unlikely that a child will be identified as having </w:t>
            </w:r>
            <w:proofErr w:type="spellStart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>SpLD</w:t>
            </w:r>
            <w:proofErr w:type="spellEnd"/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 before entering KS1.</w:t>
            </w:r>
          </w:p>
        </w:tc>
      </w:tr>
      <w:tr w:rsidR="00680F96" w:rsidRPr="000E736E" w14:paraId="51AFD6A6" w14:textId="77777777" w:rsidTr="04F908FE">
        <w:trPr>
          <w:jc w:val="center"/>
        </w:trPr>
        <w:tc>
          <w:tcPr>
            <w:tcW w:w="1978" w:type="dxa"/>
            <w:vMerge/>
          </w:tcPr>
          <w:p w14:paraId="321A070F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8DA471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736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Moderate Learning Difficulties (MLD)</w:t>
            </w:r>
          </w:p>
        </w:tc>
        <w:tc>
          <w:tcPr>
            <w:tcW w:w="112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EA3C4B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Definition:</w:t>
            </w:r>
          </w:p>
          <w:p w14:paraId="7C1800C1" w14:textId="77777777" w:rsidR="00680F96" w:rsidRPr="000E736E" w:rsidRDefault="00680F96" w:rsidP="00A47192">
            <w:pPr>
              <w:rPr>
                <w:rFonts w:asciiTheme="majorHAnsi" w:hAnsiTheme="majorHAnsi" w:cstheme="majorHAnsi"/>
                <w:i/>
                <w:iCs/>
                <w:lang w:eastAsia="en-GB"/>
              </w:rPr>
            </w:pPr>
            <w:r w:rsidRPr="000E736E">
              <w:rPr>
                <w:rFonts w:asciiTheme="majorHAnsi" w:hAnsiTheme="majorHAnsi" w:cstheme="majorHAnsi"/>
                <w:i/>
                <w:iCs/>
                <w:lang w:eastAsia="en-GB"/>
              </w:rPr>
              <w:t xml:space="preserve">A CYP with Moderate Learning Difficulties (MLD) will have ongoing difficulties in the acquisition of knowledge and skills across all areas of the curriculum including a speech and language delay, despite additional support and evidence-based interventions. </w:t>
            </w:r>
          </w:p>
          <w:p w14:paraId="3FE1E187" w14:textId="77777777" w:rsidR="00680F96" w:rsidRPr="000E736E" w:rsidRDefault="00680F96" w:rsidP="00A47192">
            <w:pPr>
              <w:rPr>
                <w:rFonts w:asciiTheme="majorHAnsi" w:hAnsiTheme="majorHAnsi" w:cstheme="majorHAnsi"/>
                <w:i/>
                <w:iCs/>
                <w:lang w:eastAsia="en-GB"/>
              </w:rPr>
            </w:pPr>
            <w:r w:rsidRPr="000E736E">
              <w:rPr>
                <w:rFonts w:asciiTheme="majorHAnsi" w:hAnsiTheme="majorHAnsi" w:cstheme="majorHAnsi"/>
                <w:i/>
                <w:iCs/>
                <w:lang w:eastAsia="en-GB"/>
              </w:rPr>
              <w:t>Academic attainment will be significantly below that of their peers and the gap will remain.</w:t>
            </w:r>
          </w:p>
          <w:p w14:paraId="5795C3CB" w14:textId="77777777" w:rsidR="00680F96" w:rsidRPr="000E736E" w:rsidRDefault="00680F96" w:rsidP="00A47192">
            <w:pPr>
              <w:rPr>
                <w:rFonts w:asciiTheme="majorHAnsi" w:hAnsiTheme="majorHAnsi" w:cstheme="majorHAnsi"/>
                <w:i/>
                <w:iCs/>
                <w:lang w:eastAsia="en-GB"/>
              </w:rPr>
            </w:pPr>
            <w:r w:rsidRPr="000E736E">
              <w:rPr>
                <w:rFonts w:asciiTheme="majorHAnsi" w:hAnsiTheme="majorHAnsi" w:cstheme="majorHAnsi"/>
                <w:i/>
                <w:iCs/>
                <w:lang w:eastAsia="en-GB"/>
              </w:rPr>
              <w:t>CYP with MLD may also present with associated difficulties in the following areas:</w:t>
            </w:r>
          </w:p>
          <w:p w14:paraId="27853517" w14:textId="77777777" w:rsidR="00680F96" w:rsidRPr="000E736E" w:rsidRDefault="00680F96" w:rsidP="00680F9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lang w:eastAsia="en-GB"/>
              </w:rPr>
            </w:pPr>
            <w:r w:rsidRPr="000E736E">
              <w:rPr>
                <w:rFonts w:asciiTheme="majorHAnsi" w:hAnsiTheme="majorHAnsi" w:cstheme="majorHAnsi"/>
                <w:i/>
                <w:iCs/>
                <w:lang w:eastAsia="en-GB"/>
              </w:rPr>
              <w:t>Limited understanding in social situations</w:t>
            </w:r>
          </w:p>
          <w:p w14:paraId="3C526DE0" w14:textId="77777777" w:rsidR="00680F96" w:rsidRPr="000E736E" w:rsidRDefault="00680F96" w:rsidP="00680F9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lang w:eastAsia="en-GB"/>
              </w:rPr>
            </w:pPr>
            <w:r w:rsidRPr="000E736E">
              <w:rPr>
                <w:rFonts w:asciiTheme="majorHAnsi" w:hAnsiTheme="majorHAnsi" w:cstheme="majorHAnsi"/>
                <w:i/>
                <w:iCs/>
                <w:lang w:eastAsia="en-GB"/>
              </w:rPr>
              <w:t>Low self-esteem</w:t>
            </w:r>
          </w:p>
          <w:p w14:paraId="5DB3B190" w14:textId="29E603A4" w:rsidR="00680F96" w:rsidRPr="00680F96" w:rsidRDefault="00680F96" w:rsidP="00A4719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71D6F">
              <w:rPr>
                <w:rFonts w:asciiTheme="majorHAnsi" w:hAnsiTheme="majorHAnsi" w:cstheme="majorHAnsi"/>
                <w:i/>
                <w:iCs/>
                <w:lang w:eastAsia="en-GB"/>
              </w:rPr>
              <w:t>Motivational engagement</w:t>
            </w:r>
          </w:p>
        </w:tc>
      </w:tr>
      <w:tr w:rsidR="00680F96" w:rsidRPr="000E736E" w14:paraId="5F21AC16" w14:textId="77777777" w:rsidTr="04F908FE">
        <w:trPr>
          <w:jc w:val="center"/>
        </w:trPr>
        <w:tc>
          <w:tcPr>
            <w:tcW w:w="1978" w:type="dxa"/>
            <w:vMerge/>
          </w:tcPr>
          <w:p w14:paraId="61CA8960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205175F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5E55C8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 xml:space="preserve">Possible evidence that supports identified </w:t>
            </w:r>
            <w:proofErr w:type="gramStart"/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need</w:t>
            </w:r>
            <w:proofErr w:type="gramEnd"/>
          </w:p>
          <w:p w14:paraId="260D8AF6" w14:textId="77777777" w:rsidR="00680F96" w:rsidRPr="000E736E" w:rsidRDefault="00680F96" w:rsidP="00680F96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Cognitive assessment by a Specialist Teacher or EP shows CYP cognitive profile would include very low percentiles – generally no higher than the second percentile – across all areas and therefore would not be ‘</w:t>
            </w:r>
            <w:proofErr w:type="gramStart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spikey’</w:t>
            </w:r>
            <w:proofErr w:type="gramEnd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 </w:t>
            </w:r>
          </w:p>
          <w:p w14:paraId="7098C6C5" w14:textId="77777777" w:rsidR="00680F96" w:rsidRPr="000E736E" w:rsidRDefault="00680F96" w:rsidP="00680F96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The CYP will likely present with processing and retention difficulties over time and further assessment has ruled out an underlying attention and/or memory difficulty caused by a speech, </w:t>
            </w:r>
            <w:proofErr w:type="gramStart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language</w:t>
            </w:r>
            <w:proofErr w:type="gramEnd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 and communication need (SLCN) or a social, emotional and mental health need (SEMH)</w:t>
            </w:r>
          </w:p>
          <w:p w14:paraId="300E77BE" w14:textId="77777777" w:rsidR="00680F96" w:rsidRPr="000E736E" w:rsidRDefault="00680F96" w:rsidP="00680F96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lastRenderedPageBreak/>
              <w:t xml:space="preserve">Assessment as part of the APDR cycle indicates over time that the CYP is making limited progress despite high quality teaching and appropriate individual </w:t>
            </w:r>
            <w:proofErr w:type="gramStart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provision</w:t>
            </w:r>
            <w:proofErr w:type="gramEnd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 </w:t>
            </w:r>
          </w:p>
          <w:p w14:paraId="36147763" w14:textId="77777777" w:rsidR="00680F96" w:rsidRPr="000E736E" w:rsidRDefault="00680F96" w:rsidP="00680F96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Several APDR cycles show that the CYP requires ongoing, evidence-based targeted intervention to support acquisition of basic literacy and numeracy skills and in understanding </w:t>
            </w:r>
            <w:proofErr w:type="gramStart"/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concepts</w:t>
            </w:r>
            <w:proofErr w:type="gramEnd"/>
          </w:p>
          <w:p w14:paraId="4A34CFC1" w14:textId="77777777" w:rsidR="00680F96" w:rsidRPr="000E736E" w:rsidRDefault="00680F96" w:rsidP="00680F96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 Light" w:hAnsiTheme="majorHAnsi" w:cstheme="majorHAnsi"/>
              </w:rPr>
            </w:pPr>
            <w:r w:rsidRPr="000E736E">
              <w:rPr>
                <w:rFonts w:asciiTheme="majorHAnsi" w:eastAsia="Calibri Light" w:hAnsiTheme="majorHAnsi" w:cstheme="majorHAnsi"/>
                <w:color w:val="000000" w:themeColor="text1"/>
              </w:rPr>
              <w:t>Ongoing involvement of parents/carers and the CYP in the APDR cycle</w:t>
            </w:r>
          </w:p>
          <w:p w14:paraId="67130131" w14:textId="77777777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0F96" w:rsidRPr="000E736E" w14:paraId="50A22910" w14:textId="77777777" w:rsidTr="04F908FE">
        <w:trPr>
          <w:jc w:val="center"/>
        </w:trPr>
        <w:tc>
          <w:tcPr>
            <w:tcW w:w="1978" w:type="dxa"/>
            <w:vMerge/>
          </w:tcPr>
          <w:p w14:paraId="29D3A86D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F12EAC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736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Severe Learning Difficulties (SLD)</w:t>
            </w:r>
          </w:p>
        </w:tc>
        <w:tc>
          <w:tcPr>
            <w:tcW w:w="112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98447E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Definition:</w:t>
            </w:r>
          </w:p>
          <w:p w14:paraId="776DFD27" w14:textId="77777777" w:rsidR="00680F96" w:rsidRDefault="00680F96" w:rsidP="00A47192">
            <w:pPr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0E736E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CYP with SLD have significant intellectual or cognitive impairments. They will often have difficulties in mobility and coordination, communication and perception and the acquisition of self-help skills. CYP with SLD will need highly differentiated support in all areas of the curriculum.</w:t>
            </w:r>
          </w:p>
          <w:p w14:paraId="7E885E9A" w14:textId="78267BF2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</w:p>
        </w:tc>
      </w:tr>
      <w:tr w:rsidR="00680F96" w:rsidRPr="000E736E" w14:paraId="663D143E" w14:textId="77777777" w:rsidTr="04F908FE">
        <w:trPr>
          <w:jc w:val="center"/>
        </w:trPr>
        <w:tc>
          <w:tcPr>
            <w:tcW w:w="1978" w:type="dxa"/>
            <w:vMerge/>
          </w:tcPr>
          <w:p w14:paraId="780E3309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3C8D382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6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5A670A27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 xml:space="preserve">Possible evidence that supports identified </w:t>
            </w:r>
            <w:proofErr w:type="gramStart"/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need</w:t>
            </w:r>
            <w:proofErr w:type="gramEnd"/>
          </w:p>
          <w:p w14:paraId="3DFD5189" w14:textId="77777777" w:rsidR="00680F96" w:rsidRPr="00BA0DAD" w:rsidRDefault="00680F96" w:rsidP="00680F9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A CYP with SLD will need specialised educational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provisions</w:t>
            </w:r>
            <w:proofErr w:type="gramEnd"/>
          </w:p>
          <w:p w14:paraId="3A2DC6AB" w14:textId="77777777" w:rsidR="00680F96" w:rsidRPr="00BA0DAD" w:rsidRDefault="00680F96" w:rsidP="00680F9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CYP will likely have had their needs identified BEFORE reaching statutory school age and will have evidence to support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this</w:t>
            </w:r>
            <w:proofErr w:type="gramEnd"/>
          </w:p>
          <w:p w14:paraId="092B560E" w14:textId="77777777" w:rsidR="00680F96" w:rsidRDefault="00680F96" w:rsidP="00680F9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Professionals are likely to have been involved from an early age and the CYP is already in receipt of specialist support which will continue for their school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career</w:t>
            </w:r>
            <w:proofErr w:type="gramEnd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 </w:t>
            </w:r>
          </w:p>
          <w:p w14:paraId="5E9118F2" w14:textId="77777777" w:rsidR="00680F96" w:rsidRPr="00BA0DAD" w:rsidRDefault="00680F96" w:rsidP="00680F9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The CYP is likely to have a learning disability which would mean additional support from health colleagues to improve long term health </w:t>
            </w:r>
            <w:proofErr w:type="gramStart"/>
            <w:r>
              <w:rPr>
                <w:rFonts w:asciiTheme="majorHAnsi" w:eastAsia="Calibri Light" w:hAnsiTheme="majorHAnsi" w:cstheme="majorHAnsi"/>
                <w:color w:val="000000" w:themeColor="text1"/>
              </w:rPr>
              <w:t>outcomes</w:t>
            </w:r>
            <w:proofErr w:type="gramEnd"/>
          </w:p>
          <w:p w14:paraId="7F76EF26" w14:textId="77777777" w:rsidR="00680F96" w:rsidRPr="00BA0DAD" w:rsidRDefault="00680F96" w:rsidP="00680F9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The CYP would have a significant gap between their chronological age and their developmental age, this significant gap will remain or widen despite specialised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provision</w:t>
            </w:r>
            <w:proofErr w:type="gramEnd"/>
          </w:p>
          <w:p w14:paraId="10C192F2" w14:textId="77777777" w:rsidR="00680F96" w:rsidRPr="00BA0DAD" w:rsidRDefault="00680F96" w:rsidP="00680F9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Several APDR cycles show that highly personalised and specialist support is required to meet the needs of the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CYP</w:t>
            </w:r>
            <w:proofErr w:type="gramEnd"/>
          </w:p>
          <w:p w14:paraId="6D2F176B" w14:textId="77777777" w:rsidR="00680F96" w:rsidRPr="00BA0DAD" w:rsidRDefault="00680F96" w:rsidP="00680F96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Ongoing involvement of parents/carers and the CYP in the APDR cycle</w:t>
            </w:r>
          </w:p>
          <w:p w14:paraId="42A244FA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</w:p>
        </w:tc>
      </w:tr>
      <w:tr w:rsidR="00680F96" w:rsidRPr="000E736E" w14:paraId="543DCCBF" w14:textId="77777777" w:rsidTr="04F908FE">
        <w:trPr>
          <w:jc w:val="center"/>
        </w:trPr>
        <w:tc>
          <w:tcPr>
            <w:tcW w:w="1978" w:type="dxa"/>
            <w:vMerge/>
          </w:tcPr>
          <w:p w14:paraId="503E7E2A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B03D4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E736E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Profound and Multiple Learning Difficulties (PMLD)</w:t>
            </w:r>
          </w:p>
        </w:tc>
        <w:tc>
          <w:tcPr>
            <w:tcW w:w="11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E8513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Definition:</w:t>
            </w:r>
          </w:p>
          <w:p w14:paraId="4954186C" w14:textId="77777777" w:rsidR="00680F96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 xml:space="preserve">CYP with profound and multiple learning difficulties have complex learning needs. In addition to severe learning difficulties, CYP have other significant difficulties such as physical disabilities, sensory </w:t>
            </w:r>
            <w:proofErr w:type="gramStart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>impairment</w:t>
            </w:r>
            <w:proofErr w:type="gramEnd"/>
            <w:r w:rsidRPr="000E736E">
              <w:rPr>
                <w:rFonts w:asciiTheme="majorHAnsi" w:hAnsiTheme="majorHAnsi" w:cstheme="majorHAnsi"/>
                <w:i/>
                <w:color w:val="000000" w:themeColor="text1"/>
              </w:rPr>
              <w:t xml:space="preserve"> or a severe medical condition. CYP will require a high level of adult support, both for their learning needs and for their personal care. They are likely to need sensory stimulation and a curriculum broken down into very small steps.</w:t>
            </w:r>
          </w:p>
          <w:p w14:paraId="3A39BE14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</w:p>
        </w:tc>
      </w:tr>
      <w:tr w:rsidR="00680F96" w:rsidRPr="000E736E" w14:paraId="6F9B66FA" w14:textId="77777777" w:rsidTr="04F908FE">
        <w:trPr>
          <w:jc w:val="center"/>
        </w:trPr>
        <w:tc>
          <w:tcPr>
            <w:tcW w:w="1978" w:type="dxa"/>
            <w:vMerge/>
          </w:tcPr>
          <w:p w14:paraId="61E4A02A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AE150DD" w14:textId="77777777" w:rsidR="00680F96" w:rsidRPr="000E736E" w:rsidRDefault="00680F96" w:rsidP="00A4719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7ED73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 xml:space="preserve">Possible evidence that supports identified </w:t>
            </w:r>
            <w:proofErr w:type="gramStart"/>
            <w:r w:rsidRPr="000E736E">
              <w:rPr>
                <w:rStyle w:val="normaltextrun"/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need</w:t>
            </w:r>
            <w:proofErr w:type="gramEnd"/>
          </w:p>
          <w:p w14:paraId="6C8D3356" w14:textId="77777777" w:rsidR="00680F96" w:rsidRPr="000E736E" w:rsidRDefault="00680F96" w:rsidP="00A47192">
            <w:pPr>
              <w:rPr>
                <w:rStyle w:val="normaltextrun"/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0E736E">
              <w:rPr>
                <w:rStyle w:val="normaltextrun"/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A CYP with PMLD will need highly specialised educational and health </w:t>
            </w:r>
            <w:proofErr w:type="gramStart"/>
            <w:r w:rsidRPr="000E736E">
              <w:rPr>
                <w:rStyle w:val="normaltextrun"/>
                <w:rFonts w:asciiTheme="majorHAnsi" w:eastAsia="Times New Roman" w:hAnsiTheme="majorHAnsi" w:cstheme="majorHAnsi"/>
                <w:color w:val="000000"/>
                <w:lang w:eastAsia="en-GB"/>
              </w:rPr>
              <w:t>provision</w:t>
            </w:r>
            <w:proofErr w:type="gramEnd"/>
            <w:r w:rsidRPr="000E736E">
              <w:rPr>
                <w:rStyle w:val="normaltextrun"/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 </w:t>
            </w:r>
          </w:p>
          <w:p w14:paraId="7FF74CEB" w14:textId="77777777" w:rsidR="00680F96" w:rsidRPr="00BA0DAD" w:rsidRDefault="00680F96" w:rsidP="00680F96">
            <w:pPr>
              <w:pStyle w:val="ListParagraph"/>
              <w:numPr>
                <w:ilvl w:val="0"/>
                <w:numId w:val="8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CYP will likely have had their needs identified BEFORE reaching statutory school age and will have evidence to support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this</w:t>
            </w:r>
            <w:proofErr w:type="gramEnd"/>
          </w:p>
          <w:p w14:paraId="4D4EDC1D" w14:textId="77777777" w:rsidR="00680F96" w:rsidRPr="00BA0DAD" w:rsidRDefault="00680F96" w:rsidP="00680F96">
            <w:pPr>
              <w:pStyle w:val="ListParagraph"/>
              <w:numPr>
                <w:ilvl w:val="0"/>
                <w:numId w:val="8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Medical and other professionals are likely to have been involved from an early age and the CYP is already in receipt of specialist support which will continue for their school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career</w:t>
            </w:r>
            <w:proofErr w:type="gramEnd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 </w:t>
            </w:r>
          </w:p>
          <w:p w14:paraId="655F3167" w14:textId="77777777" w:rsidR="00680F96" w:rsidRPr="00BA0DAD" w:rsidRDefault="00680F96" w:rsidP="00680F96">
            <w:pPr>
              <w:pStyle w:val="ListParagraph"/>
              <w:numPr>
                <w:ilvl w:val="0"/>
                <w:numId w:val="8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lastRenderedPageBreak/>
              <w:t xml:space="preserve">CYP is likely to have a medical diagnosis or ongoing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investigation</w:t>
            </w:r>
            <w:proofErr w:type="gramEnd"/>
          </w:p>
          <w:p w14:paraId="0FF739B4" w14:textId="77777777" w:rsidR="00680F96" w:rsidRPr="00BA0DAD" w:rsidRDefault="00680F96" w:rsidP="00680F96">
            <w:pPr>
              <w:pStyle w:val="ListParagraph"/>
              <w:numPr>
                <w:ilvl w:val="0"/>
                <w:numId w:val="8"/>
              </w:numPr>
              <w:rPr>
                <w:rFonts w:asciiTheme="majorHAnsi" w:eastAsia="Calibri Light" w:hAnsiTheme="majorHAnsi" w:cstheme="majorHAnsi"/>
                <w:color w:val="000000" w:themeColor="text1"/>
              </w:rPr>
            </w:pPr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 xml:space="preserve">Several APDR cycles show that highly personalised and specialist support is required to meet the needs of the </w:t>
            </w:r>
            <w:proofErr w:type="gramStart"/>
            <w:r w:rsidRPr="00BA0DAD">
              <w:rPr>
                <w:rFonts w:asciiTheme="majorHAnsi" w:eastAsia="Calibri Light" w:hAnsiTheme="majorHAnsi" w:cstheme="majorHAnsi"/>
                <w:color w:val="000000" w:themeColor="text1"/>
              </w:rPr>
              <w:t>CYP</w:t>
            </w:r>
            <w:proofErr w:type="gramEnd"/>
          </w:p>
          <w:p w14:paraId="1A6D567B" w14:textId="77C7FF62" w:rsidR="00680F96" w:rsidRPr="000E736E" w:rsidRDefault="00680F96" w:rsidP="04F908FE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theme="majorBidi"/>
                <w:color w:val="000000"/>
                <w:lang w:eastAsia="en-GB"/>
              </w:rPr>
            </w:pPr>
            <w:r w:rsidRPr="04F908FE">
              <w:rPr>
                <w:rFonts w:asciiTheme="majorHAnsi" w:eastAsia="Calibri Light" w:hAnsiTheme="majorHAnsi" w:cstheme="majorBidi"/>
                <w:color w:val="000000" w:themeColor="text1"/>
              </w:rPr>
              <w:t>Ongoing involvement of parents/carers and the CYP in the APDR cycle</w:t>
            </w:r>
          </w:p>
        </w:tc>
      </w:tr>
      <w:tr w:rsidR="00680F96" w:rsidRPr="000E736E" w14:paraId="1BD5D021" w14:textId="77777777" w:rsidTr="04F908FE">
        <w:trPr>
          <w:jc w:val="center"/>
        </w:trPr>
        <w:tc>
          <w:tcPr>
            <w:tcW w:w="7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A6ACC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lastRenderedPageBreak/>
              <w:t xml:space="preserve">Approaches to assessing and unpicking </w:t>
            </w:r>
            <w:proofErr w:type="gramStart"/>
            <w:r w:rsidRPr="000E736E">
              <w:rPr>
                <w:rFonts w:asciiTheme="majorHAnsi" w:hAnsiTheme="majorHAnsi" w:cstheme="majorHAnsi"/>
                <w:b/>
              </w:rPr>
              <w:t>needs</w:t>
            </w:r>
            <w:proofErr w:type="gramEnd"/>
          </w:p>
          <w:p w14:paraId="6B6FF630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Observations and </w:t>
            </w:r>
            <w:proofErr w:type="spellStart"/>
            <w:r w:rsidRPr="000E736E">
              <w:rPr>
                <w:rFonts w:asciiTheme="majorHAnsi" w:hAnsiTheme="majorHAnsi" w:cstheme="majorHAnsi"/>
              </w:rPr>
              <w:t>AfL</w:t>
            </w:r>
            <w:proofErr w:type="spell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414486B9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Verbal and non-verbal reasoning test </w:t>
            </w:r>
          </w:p>
          <w:p w14:paraId="7CF147A3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Standardised reading and spelling assessments </w:t>
            </w:r>
          </w:p>
          <w:p w14:paraId="4F562FA6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Reading Age </w:t>
            </w:r>
          </w:p>
          <w:p w14:paraId="386EE1D3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Spelling Age</w:t>
            </w:r>
          </w:p>
          <w:p w14:paraId="10DA326C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Physical development </w:t>
            </w:r>
          </w:p>
          <w:p w14:paraId="1DCD19C0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Draw a Man (Goodenough) </w:t>
            </w:r>
          </w:p>
          <w:p w14:paraId="60619D49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Visual perception tests (overlays) </w:t>
            </w:r>
          </w:p>
          <w:p w14:paraId="1BDBDEC0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eastAsia="Arial" w:hAnsiTheme="majorHAnsi" w:cstheme="majorHAnsi"/>
              </w:rPr>
              <w:t>WE</w:t>
            </w:r>
            <w:r w:rsidRPr="000E736E">
              <w:rPr>
                <w:rFonts w:asciiTheme="majorHAnsi" w:hAnsiTheme="majorHAnsi" w:cstheme="majorHAnsi"/>
              </w:rPr>
              <w:t xml:space="preserve">LLCOM </w:t>
            </w:r>
          </w:p>
          <w:p w14:paraId="5CFD2E6F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Curriculum based </w:t>
            </w:r>
            <w:proofErr w:type="gramStart"/>
            <w:r w:rsidRPr="000E736E">
              <w:rPr>
                <w:rFonts w:asciiTheme="majorHAnsi" w:hAnsiTheme="majorHAnsi" w:cstheme="majorHAnsi"/>
              </w:rPr>
              <w:t>assessment</w:t>
            </w:r>
            <w:proofErr w:type="gramEnd"/>
          </w:p>
          <w:p w14:paraId="77EB4B7C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Precision Teaching assessment </w:t>
            </w:r>
          </w:p>
          <w:p w14:paraId="18BBDB38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Salford Reading Test </w:t>
            </w:r>
          </w:p>
          <w:p w14:paraId="79D5C0E4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Salford Sentence Reading Test </w:t>
            </w:r>
          </w:p>
          <w:p w14:paraId="1855EAF5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Salford Graded word spelling </w:t>
            </w:r>
            <w:proofErr w:type="gramStart"/>
            <w:r w:rsidRPr="000E736E">
              <w:rPr>
                <w:rFonts w:asciiTheme="majorHAnsi" w:hAnsiTheme="majorHAnsi" w:cstheme="majorHAnsi"/>
              </w:rPr>
              <w:t>test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 </w:t>
            </w:r>
          </w:p>
          <w:p w14:paraId="332383DC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Salford Basic Number Screening Test </w:t>
            </w:r>
          </w:p>
          <w:p w14:paraId="74865401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Turner &amp; </w:t>
            </w:r>
            <w:proofErr w:type="spellStart"/>
            <w:r w:rsidRPr="000E736E">
              <w:rPr>
                <w:rFonts w:asciiTheme="majorHAnsi" w:hAnsiTheme="majorHAnsi" w:cstheme="majorHAnsi"/>
              </w:rPr>
              <w:t>Risdale</w:t>
            </w:r>
            <w:proofErr w:type="spellEnd"/>
            <w:r w:rsidRPr="000E736E">
              <w:rPr>
                <w:rFonts w:asciiTheme="majorHAnsi" w:hAnsiTheme="majorHAnsi" w:cstheme="majorHAnsi"/>
              </w:rPr>
              <w:t xml:space="preserve"> digit number test </w:t>
            </w:r>
          </w:p>
          <w:p w14:paraId="60519655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GL Single word spelling test</w:t>
            </w:r>
          </w:p>
          <w:p w14:paraId="35013157" w14:textId="77777777" w:rsidR="00680F96" w:rsidRPr="000E736E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SLS reading, phonics and spelling </w:t>
            </w:r>
            <w:proofErr w:type="gramStart"/>
            <w:r w:rsidRPr="000E736E">
              <w:rPr>
                <w:rFonts w:asciiTheme="majorHAnsi" w:hAnsiTheme="majorHAnsi" w:cstheme="majorHAnsi"/>
              </w:rPr>
              <w:t>test</w:t>
            </w:r>
            <w:proofErr w:type="gramEnd"/>
          </w:p>
          <w:p w14:paraId="09CEB71E" w14:textId="77777777" w:rsidR="00680F96" w:rsidRPr="00783FF5" w:rsidRDefault="00680F96" w:rsidP="00680F9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Criterion referenced checklists</w:t>
            </w:r>
          </w:p>
        </w:tc>
        <w:tc>
          <w:tcPr>
            <w:tcW w:w="7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3AB93" w14:textId="77777777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EA10A6" w14:textId="77777777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sz w:val="20"/>
                <w:szCs w:val="20"/>
              </w:rPr>
              <w:t xml:space="preserve">Useful Links: </w:t>
            </w:r>
          </w:p>
          <w:p w14:paraId="6C8D9FDF" w14:textId="77777777" w:rsidR="00680F96" w:rsidRPr="000E736E" w:rsidRDefault="0000480C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0" w:history="1">
              <w:r w:rsidR="00680F96" w:rsidRPr="000E736E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British Dyslexia Association (bdadyslexia.org.uk)</w:t>
              </w:r>
            </w:hyperlink>
          </w:p>
          <w:p w14:paraId="103B199D" w14:textId="77777777" w:rsidR="00680F96" w:rsidRDefault="0000480C" w:rsidP="00A47192">
            <w:pPr>
              <w:rPr>
                <w:rFonts w:asciiTheme="majorHAnsi" w:hAnsiTheme="majorHAnsi" w:cstheme="majorHAnsi"/>
                <w:color w:val="0000FF"/>
                <w:sz w:val="20"/>
                <w:szCs w:val="20"/>
                <w:u w:val="single"/>
              </w:rPr>
            </w:pPr>
            <w:hyperlink r:id="rId11">
              <w:r w:rsidR="00680F96" w:rsidRPr="000E736E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The Dyslexia-</w:t>
              </w:r>
              <w:proofErr w:type="spellStart"/>
              <w:r w:rsidR="00680F96" w:rsidRPr="000E736E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SpLD</w:t>
              </w:r>
              <w:proofErr w:type="spellEnd"/>
              <w:r w:rsidR="00680F96" w:rsidRPr="000E736E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 xml:space="preserve"> Trust - Home</w:t>
              </w:r>
            </w:hyperlink>
          </w:p>
          <w:p w14:paraId="46524938" w14:textId="77777777" w:rsidR="00680F96" w:rsidRPr="000E736E" w:rsidRDefault="0000480C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680F96" w:rsidRPr="00267C7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British Institute of Learning Disabilities (BILD) (councilfordisabledchildren.org.uk)</w:t>
              </w:r>
            </w:hyperlink>
          </w:p>
          <w:p w14:paraId="5DCFB120" w14:textId="77777777" w:rsidR="00680F96" w:rsidRPr="000E736E" w:rsidRDefault="00680F96" w:rsidP="00A47192">
            <w:pPr>
              <w:rPr>
                <w:rFonts w:asciiTheme="majorHAnsi" w:hAnsiTheme="majorHAnsi" w:cstheme="majorHAnsi"/>
                <w:color w:val="0000FF"/>
                <w:sz w:val="20"/>
                <w:szCs w:val="20"/>
                <w:u w:val="single"/>
              </w:rPr>
            </w:pPr>
          </w:p>
          <w:p w14:paraId="03CAF2EB" w14:textId="77777777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0F96" w:rsidRPr="000E736E" w14:paraId="3AB72F37" w14:textId="77777777" w:rsidTr="04F908FE">
        <w:trPr>
          <w:jc w:val="center"/>
        </w:trPr>
        <w:tc>
          <w:tcPr>
            <w:tcW w:w="153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49E42A6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  <w:bCs/>
              </w:rPr>
            </w:pPr>
            <w:r w:rsidRPr="000E736E">
              <w:rPr>
                <w:rFonts w:asciiTheme="majorHAnsi" w:hAnsiTheme="majorHAnsi" w:cstheme="majorHAnsi"/>
                <w:b/>
                <w:bCs/>
              </w:rPr>
              <w:t xml:space="preserve">Cognition &amp; Learning Presenting Needs </w:t>
            </w:r>
          </w:p>
          <w:p w14:paraId="766FD123" w14:textId="77777777" w:rsidR="00680F96" w:rsidRPr="000E736E" w:rsidRDefault="00680F96" w:rsidP="00A47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E736E">
              <w:rPr>
                <w:rFonts w:asciiTheme="majorHAnsi" w:hAnsiTheme="majorHAnsi" w:cstheme="majorHAnsi"/>
                <w:b/>
                <w:bCs/>
              </w:rPr>
              <w:t>A child or young person with cognition and learning difficulties may present with some of the following behaviours/difficulties (not exhaustive):</w:t>
            </w:r>
          </w:p>
        </w:tc>
      </w:tr>
      <w:tr w:rsidR="00680F96" w:rsidRPr="000E736E" w14:paraId="6E72A808" w14:textId="77777777" w:rsidTr="04F908FE">
        <w:trPr>
          <w:jc w:val="center"/>
        </w:trPr>
        <w:tc>
          <w:tcPr>
            <w:tcW w:w="153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9B226E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Low levels of attainment </w:t>
            </w:r>
          </w:p>
          <w:p w14:paraId="7A849A71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>Phonological and short-term memory difficulties</w:t>
            </w:r>
          </w:p>
          <w:p w14:paraId="4C25E201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Difficulty acquiring new skills (particularly in literacy and numeracy) </w:t>
            </w:r>
          </w:p>
          <w:p w14:paraId="645C0B11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Difficulty in dealing with abstract ideas </w:t>
            </w:r>
          </w:p>
          <w:p w14:paraId="3A2168B0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Some speech and language difficulties </w:t>
            </w:r>
            <w:proofErr w:type="gramStart"/>
            <w:r w:rsidRPr="000E736E">
              <w:rPr>
                <w:rFonts w:asciiTheme="majorHAnsi" w:hAnsiTheme="majorHAnsi" w:cstheme="majorHAnsi"/>
              </w:rPr>
              <w:t>e.g.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generalising information, understanding abstract language </w:t>
            </w:r>
          </w:p>
          <w:p w14:paraId="2EB9F5CA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Some difficulties with fine or gross motor skills </w:t>
            </w:r>
          </w:p>
          <w:p w14:paraId="2F1715A9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Some signs of frustration and/or aggressive behaviours </w:t>
            </w:r>
          </w:p>
          <w:p w14:paraId="23A6AE9E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Difficulties involving specific skills such as sequencing, ordering, word finding </w:t>
            </w:r>
          </w:p>
          <w:p w14:paraId="4C859C0B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Difficulty forming concepts particularly when information is more abstract </w:t>
            </w:r>
          </w:p>
          <w:p w14:paraId="3CC03820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lastRenderedPageBreak/>
              <w:t>•</w:t>
            </w:r>
            <w:r w:rsidRPr="000E736E">
              <w:rPr>
                <w:rFonts w:asciiTheme="majorHAnsi" w:hAnsiTheme="majorHAnsi" w:cstheme="majorHAnsi"/>
              </w:rPr>
              <w:tab/>
              <w:t xml:space="preserve">Limited skills in verbal exchanges </w:t>
            </w:r>
          </w:p>
          <w:p w14:paraId="3535ED35" w14:textId="77777777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>Avoidance strategies</w:t>
            </w:r>
          </w:p>
          <w:p w14:paraId="0A6C51BC" w14:textId="77777777" w:rsidR="00680F96" w:rsidRDefault="00680F96" w:rsidP="00A47192">
            <w:p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•</w:t>
            </w:r>
            <w:r w:rsidRPr="000E736E">
              <w:rPr>
                <w:rFonts w:asciiTheme="majorHAnsi" w:hAnsiTheme="majorHAnsi" w:cstheme="majorHAnsi"/>
              </w:rPr>
              <w:tab/>
              <w:t>Low self-confidence/esteem</w:t>
            </w:r>
          </w:p>
          <w:p w14:paraId="1D91EC25" w14:textId="77777777" w:rsidR="00680F96" w:rsidRDefault="00680F96" w:rsidP="00A47192">
            <w:pPr>
              <w:rPr>
                <w:rFonts w:asciiTheme="majorHAnsi" w:hAnsiTheme="majorHAnsi" w:cstheme="majorHAnsi"/>
              </w:rPr>
            </w:pPr>
          </w:p>
          <w:p w14:paraId="70D9CBF7" w14:textId="78883CD0" w:rsidR="00680F96" w:rsidRPr="000E736E" w:rsidRDefault="00680F96" w:rsidP="00A47192">
            <w:pPr>
              <w:rPr>
                <w:rFonts w:asciiTheme="majorHAnsi" w:hAnsiTheme="majorHAnsi" w:cstheme="majorHAnsi"/>
              </w:rPr>
            </w:pPr>
          </w:p>
        </w:tc>
      </w:tr>
      <w:tr w:rsidR="00680F96" w:rsidRPr="000E736E" w14:paraId="3E6C8EDA" w14:textId="77777777" w:rsidTr="04F908FE">
        <w:trPr>
          <w:jc w:val="center"/>
        </w:trPr>
        <w:tc>
          <w:tcPr>
            <w:tcW w:w="153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A52AED" w14:textId="77777777" w:rsidR="00680F96" w:rsidRPr="00783FF5" w:rsidRDefault="00680F96" w:rsidP="00A47192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lastRenderedPageBreak/>
              <w:t>Provision:</w:t>
            </w:r>
          </w:p>
        </w:tc>
      </w:tr>
      <w:tr w:rsidR="00680F96" w:rsidRPr="000E736E" w14:paraId="6F22091C" w14:textId="77777777" w:rsidTr="04F908FE">
        <w:trPr>
          <w:jc w:val="center"/>
        </w:trPr>
        <w:tc>
          <w:tcPr>
            <w:tcW w:w="5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12958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Universal (High Quality Teaching)</w:t>
            </w:r>
          </w:p>
          <w:p w14:paraId="588C013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High expectations of children and appropriate challenge for all </w:t>
            </w:r>
          </w:p>
          <w:p w14:paraId="0E186D0F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Clear learning objectives and differentiated outcomes, clear </w:t>
            </w:r>
            <w:proofErr w:type="gramStart"/>
            <w:r w:rsidRPr="000E736E">
              <w:rPr>
                <w:rFonts w:asciiTheme="majorHAnsi" w:hAnsiTheme="majorHAnsi" w:cstheme="majorHAnsi"/>
              </w:rPr>
              <w:t>instructions</w:t>
            </w:r>
            <w:proofErr w:type="gramEnd"/>
          </w:p>
          <w:p w14:paraId="5A1CA181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Clear feedback and next steps in their learning – children involved in the process and given time to </w:t>
            </w:r>
            <w:proofErr w:type="gramStart"/>
            <w:r w:rsidRPr="000E736E">
              <w:rPr>
                <w:rFonts w:asciiTheme="majorHAnsi" w:hAnsiTheme="majorHAnsi" w:cstheme="majorHAnsi"/>
              </w:rPr>
              <w:t>respond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176CAF87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Behaviour for Learning at the heart of lessons/school ethos</w:t>
            </w:r>
          </w:p>
          <w:p w14:paraId="3F968378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Learning walls to support key learning </w:t>
            </w:r>
            <w:proofErr w:type="gramStart"/>
            <w:r w:rsidRPr="000E736E">
              <w:rPr>
                <w:rFonts w:asciiTheme="majorHAnsi" w:hAnsiTheme="majorHAnsi" w:cstheme="majorHAnsi"/>
              </w:rPr>
              <w:t>points</w:t>
            </w:r>
            <w:proofErr w:type="gramEnd"/>
          </w:p>
          <w:p w14:paraId="0C3E59A1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Time to talk things through with a Talk Partner before feeding back to </w:t>
            </w:r>
            <w:proofErr w:type="gramStart"/>
            <w:r w:rsidRPr="000E736E">
              <w:rPr>
                <w:rFonts w:asciiTheme="majorHAnsi" w:hAnsiTheme="majorHAnsi" w:cstheme="majorHAnsi"/>
              </w:rPr>
              <w:t>class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4F013075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Access to ICT to help reduce barriers to </w:t>
            </w:r>
            <w:proofErr w:type="gramStart"/>
            <w:r w:rsidRPr="000E736E">
              <w:rPr>
                <w:rFonts w:asciiTheme="majorHAnsi" w:hAnsiTheme="majorHAnsi" w:cstheme="majorHAnsi"/>
              </w:rPr>
              <w:t>learning</w:t>
            </w:r>
            <w:proofErr w:type="gramEnd"/>
          </w:p>
          <w:p w14:paraId="7BACD077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Writing frames or alternatives to written recording when writing is not the primary </w:t>
            </w:r>
            <w:proofErr w:type="gramStart"/>
            <w:r w:rsidRPr="000E736E">
              <w:rPr>
                <w:rFonts w:asciiTheme="majorHAnsi" w:hAnsiTheme="majorHAnsi" w:cstheme="majorHAnsi"/>
              </w:rPr>
              <w:t>objective</w:t>
            </w:r>
            <w:proofErr w:type="gramEnd"/>
          </w:p>
          <w:p w14:paraId="2FC66EE0" w14:textId="77777777" w:rsidR="00680F96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Variety of teaching styles and approaches using both open and closed tasks matched to the needs of </w:t>
            </w:r>
            <w:proofErr w:type="gramStart"/>
            <w:r w:rsidRPr="000E736E">
              <w:rPr>
                <w:rFonts w:asciiTheme="majorHAnsi" w:hAnsiTheme="majorHAnsi" w:cstheme="majorHAnsi"/>
              </w:rPr>
              <w:t>individuals</w:t>
            </w:r>
            <w:proofErr w:type="gramEnd"/>
          </w:p>
          <w:p w14:paraId="6A9854C6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Structured school and class routines</w:t>
            </w:r>
          </w:p>
          <w:p w14:paraId="70F9221E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Multisensory learning approach (visual, auditory and kinaesthetic learning) making use of music, actions, graphics </w:t>
            </w:r>
            <w:proofErr w:type="gramStart"/>
            <w:r w:rsidRPr="000E736E">
              <w:rPr>
                <w:rFonts w:asciiTheme="majorHAnsi" w:hAnsiTheme="majorHAnsi" w:cstheme="majorHAnsi"/>
              </w:rPr>
              <w:t>etc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209ED236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Planning emphasises what children will learn based on an assessment of what the child already knows, understands and can do, ‘Assessment for Learning’ principles in </w:t>
            </w:r>
            <w:proofErr w:type="gramStart"/>
            <w:r w:rsidRPr="000E736E">
              <w:rPr>
                <w:rFonts w:asciiTheme="majorHAnsi" w:hAnsiTheme="majorHAnsi" w:cstheme="majorHAnsi"/>
              </w:rPr>
              <w:t>place</w:t>
            </w:r>
            <w:proofErr w:type="gramEnd"/>
          </w:p>
          <w:p w14:paraId="07F31818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Personalised and differentiated teaching, including </w:t>
            </w:r>
            <w:proofErr w:type="gramStart"/>
            <w:r w:rsidRPr="000E736E">
              <w:rPr>
                <w:rFonts w:asciiTheme="majorHAnsi" w:hAnsiTheme="majorHAnsi" w:cstheme="majorHAnsi"/>
              </w:rPr>
              <w:t>questioning</w:t>
            </w:r>
            <w:proofErr w:type="gramEnd"/>
          </w:p>
          <w:p w14:paraId="13F00638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lastRenderedPageBreak/>
              <w:t xml:space="preserve">Learning presented in small chunks. Mini plenaries throughout session to ensure pupils making good progress. Intervention given to overcome </w:t>
            </w:r>
            <w:proofErr w:type="gramStart"/>
            <w:r w:rsidRPr="000E736E">
              <w:rPr>
                <w:rFonts w:asciiTheme="majorHAnsi" w:hAnsiTheme="majorHAnsi" w:cstheme="majorHAnsi"/>
              </w:rPr>
              <w:t>misconceptions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7A2B6057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Pre-teach vocabulary and key </w:t>
            </w:r>
            <w:proofErr w:type="gramStart"/>
            <w:r w:rsidRPr="000E736E">
              <w:rPr>
                <w:rFonts w:asciiTheme="majorHAnsi" w:hAnsiTheme="majorHAnsi" w:cstheme="majorHAnsi"/>
              </w:rPr>
              <w:t>concepts</w:t>
            </w:r>
            <w:proofErr w:type="gramEnd"/>
          </w:p>
          <w:p w14:paraId="6D1BED2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Collaborative working opportunities</w:t>
            </w:r>
          </w:p>
          <w:p w14:paraId="6366D60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Key vocabulary displayed/</w:t>
            </w:r>
            <w:proofErr w:type="gramStart"/>
            <w:r w:rsidRPr="000E736E">
              <w:rPr>
                <w:rFonts w:asciiTheme="majorHAnsi" w:hAnsiTheme="majorHAnsi" w:cstheme="majorHAnsi"/>
              </w:rPr>
              <w:t>available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7B2E908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Time given for </w:t>
            </w:r>
            <w:proofErr w:type="gramStart"/>
            <w:r w:rsidRPr="000E736E">
              <w:rPr>
                <w:rFonts w:asciiTheme="majorHAnsi" w:hAnsiTheme="majorHAnsi" w:cstheme="majorHAnsi"/>
              </w:rPr>
              <w:t>processing</w:t>
            </w:r>
            <w:proofErr w:type="gramEnd"/>
          </w:p>
          <w:p w14:paraId="446C7DA3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Consistent use of terms </w:t>
            </w:r>
          </w:p>
          <w:p w14:paraId="111CBF58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Repetition and reinforcement of skills including worked examples and </w:t>
            </w:r>
            <w:proofErr w:type="gramStart"/>
            <w:r w:rsidRPr="000E736E">
              <w:rPr>
                <w:rFonts w:asciiTheme="majorHAnsi" w:hAnsiTheme="majorHAnsi" w:cstheme="majorHAnsi"/>
              </w:rPr>
              <w:t>modelling</w:t>
            </w:r>
            <w:proofErr w:type="gramEnd"/>
          </w:p>
          <w:p w14:paraId="16E54061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Differentiated curriculum planning, activities, delivery and </w:t>
            </w:r>
            <w:proofErr w:type="gramStart"/>
            <w:r w:rsidRPr="000E736E">
              <w:rPr>
                <w:rFonts w:asciiTheme="majorHAnsi" w:hAnsiTheme="majorHAnsi" w:cstheme="majorHAnsi"/>
              </w:rPr>
              <w:t>outcome</w:t>
            </w:r>
            <w:proofErr w:type="gramEnd"/>
          </w:p>
          <w:p w14:paraId="73E37F8F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Visual timetables</w:t>
            </w:r>
          </w:p>
          <w:p w14:paraId="79A1853C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Illustrated </w:t>
            </w:r>
            <w:proofErr w:type="gramStart"/>
            <w:r w:rsidRPr="000E736E">
              <w:rPr>
                <w:rFonts w:asciiTheme="majorHAnsi" w:hAnsiTheme="majorHAnsi" w:cstheme="majorHAnsi"/>
              </w:rPr>
              <w:t>dictionaries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44814B67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Use of writing frames </w:t>
            </w:r>
          </w:p>
          <w:p w14:paraId="2F368AF5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Individual whiteboards for drafting </w:t>
            </w:r>
          </w:p>
          <w:p w14:paraId="5A7D98FE" w14:textId="77777777" w:rsidR="00680F96" w:rsidRPr="00D477D2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Use of symbols </w:t>
            </w:r>
          </w:p>
        </w:tc>
        <w:tc>
          <w:tcPr>
            <w:tcW w:w="5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326C3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lastRenderedPageBreak/>
              <w:t>Evidence Based Targeted Interventions/Support</w:t>
            </w:r>
          </w:p>
          <w:p w14:paraId="39D2BC31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Circle of Friends </w:t>
            </w:r>
          </w:p>
          <w:p w14:paraId="648A63D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ENABLE  </w:t>
            </w:r>
          </w:p>
          <w:p w14:paraId="2C25FAB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ENABLE+ </w:t>
            </w:r>
          </w:p>
          <w:p w14:paraId="4810FC40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Task slicing </w:t>
            </w:r>
          </w:p>
          <w:p w14:paraId="4EAA0A0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LEXIA </w:t>
            </w:r>
          </w:p>
          <w:p w14:paraId="6C5076A7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Echo reading </w:t>
            </w:r>
          </w:p>
          <w:p w14:paraId="65E4CE04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Paired reading </w:t>
            </w:r>
          </w:p>
          <w:p w14:paraId="15C05848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Reading recovery </w:t>
            </w:r>
          </w:p>
          <w:p w14:paraId="0F077A0E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Numeracy Shine – Rising Stars </w:t>
            </w:r>
          </w:p>
          <w:p w14:paraId="2CE231E5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Third space reading</w:t>
            </w:r>
          </w:p>
          <w:p w14:paraId="7CA0EA9D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Working memory in the classroom </w:t>
            </w:r>
          </w:p>
          <w:p w14:paraId="445593BA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Accelerated </w:t>
            </w:r>
            <w:proofErr w:type="gramStart"/>
            <w:r w:rsidRPr="000E736E">
              <w:rPr>
                <w:rFonts w:asciiTheme="majorHAnsi" w:hAnsiTheme="majorHAnsi" w:cstheme="majorHAnsi"/>
              </w:rPr>
              <w:t>reader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221128CE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See and Learn </w:t>
            </w:r>
          </w:p>
          <w:p w14:paraId="07571F56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proofErr w:type="spellStart"/>
            <w:r w:rsidRPr="000E736E">
              <w:rPr>
                <w:rFonts w:asciiTheme="majorHAnsi" w:hAnsiTheme="majorHAnsi" w:cstheme="majorHAnsi"/>
              </w:rPr>
              <w:t>MeeMo</w:t>
            </w:r>
            <w:proofErr w:type="spell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3459D812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Rising Stars </w:t>
            </w:r>
          </w:p>
          <w:p w14:paraId="75C2FC5C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Motivational Interviewing</w:t>
            </w:r>
          </w:p>
          <w:p w14:paraId="54583CBF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Sensory diet/snacks</w:t>
            </w:r>
          </w:p>
          <w:p w14:paraId="581F57CF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Social Use of Language Program (SULP) </w:t>
            </w:r>
          </w:p>
          <w:p w14:paraId="457873AB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Mentoring </w:t>
            </w:r>
          </w:p>
          <w:p w14:paraId="38FA4E4C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RWI </w:t>
            </w:r>
          </w:p>
          <w:p w14:paraId="759A9804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Toe by Toe </w:t>
            </w:r>
          </w:p>
          <w:p w14:paraId="46C6CC8F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Precision Teaching </w:t>
            </w:r>
          </w:p>
          <w:p w14:paraId="53A27492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Write Away Together </w:t>
            </w:r>
          </w:p>
          <w:p w14:paraId="1A5EF117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Rapid Reader </w:t>
            </w:r>
          </w:p>
          <w:p w14:paraId="4753AFFC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Rapid Writer </w:t>
            </w:r>
          </w:p>
          <w:p w14:paraId="70932BF6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Rapid Maths </w:t>
            </w:r>
          </w:p>
          <w:p w14:paraId="590A7F44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Alpha to Omega </w:t>
            </w:r>
          </w:p>
          <w:p w14:paraId="02C13A22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Turnabout </w:t>
            </w:r>
          </w:p>
          <w:p w14:paraId="49DFE971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lastRenderedPageBreak/>
              <w:t xml:space="preserve">Pre-teaching and post-teaching </w:t>
            </w:r>
          </w:p>
          <w:p w14:paraId="2E0B6BA5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Objects of reference</w:t>
            </w:r>
          </w:p>
          <w:p w14:paraId="072D7063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Direct Instruction</w:t>
            </w:r>
          </w:p>
        </w:tc>
        <w:tc>
          <w:tcPr>
            <w:tcW w:w="5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D3877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lastRenderedPageBreak/>
              <w:t>Specialist/ Personalised</w:t>
            </w:r>
          </w:p>
          <w:p w14:paraId="48AC1767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Provide programmes/activities working on underlying skills of phonological awareness to underpin teaching of </w:t>
            </w:r>
            <w:proofErr w:type="gramStart"/>
            <w:r w:rsidRPr="000E736E">
              <w:rPr>
                <w:rFonts w:asciiTheme="majorHAnsi" w:hAnsiTheme="majorHAnsi" w:cstheme="majorHAnsi"/>
              </w:rPr>
              <w:t>phonics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0D0AB319" w14:textId="77777777" w:rsidR="00680F96" w:rsidRPr="000E736E" w:rsidRDefault="00680F96" w:rsidP="00680F9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Use of specialist programmes to make resources </w:t>
            </w:r>
            <w:proofErr w:type="gramStart"/>
            <w:r w:rsidRPr="000E736E">
              <w:rPr>
                <w:rFonts w:asciiTheme="majorHAnsi" w:hAnsiTheme="majorHAnsi" w:cstheme="majorHAnsi"/>
              </w:rPr>
              <w:t>e.g.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Communicate in Print </w:t>
            </w:r>
          </w:p>
          <w:p w14:paraId="6E85700A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Specialist support and interventions </w:t>
            </w:r>
            <w:proofErr w:type="gramStart"/>
            <w:r w:rsidRPr="000E736E">
              <w:rPr>
                <w:rFonts w:asciiTheme="majorHAnsi" w:hAnsiTheme="majorHAnsi" w:cstheme="majorHAnsi"/>
              </w:rPr>
              <w:t>e.g.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Educational Psychologists (EPs), Specialist Teachers, Outreach team </w:t>
            </w:r>
          </w:p>
          <w:p w14:paraId="1028250C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Working memory resources/training </w:t>
            </w:r>
            <w:proofErr w:type="gramStart"/>
            <w:r w:rsidRPr="000E736E">
              <w:rPr>
                <w:rFonts w:asciiTheme="majorHAnsi" w:hAnsiTheme="majorHAnsi" w:cstheme="majorHAnsi"/>
              </w:rPr>
              <w:t>e.g.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Memory Magic</w:t>
            </w:r>
          </w:p>
        </w:tc>
      </w:tr>
      <w:tr w:rsidR="00680F96" w:rsidRPr="000E736E" w14:paraId="733404C4" w14:textId="77777777" w:rsidTr="04F908FE">
        <w:trPr>
          <w:jc w:val="center"/>
        </w:trPr>
        <w:tc>
          <w:tcPr>
            <w:tcW w:w="7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C46984" w14:textId="77777777" w:rsidR="00680F96" w:rsidRPr="000E736E" w:rsidRDefault="00680F96" w:rsidP="00A47192">
            <w:pPr>
              <w:rPr>
                <w:rFonts w:asciiTheme="majorHAnsi" w:hAnsiTheme="majorHAnsi" w:cstheme="majorHAnsi"/>
                <w:b/>
              </w:rPr>
            </w:pPr>
            <w:r w:rsidRPr="000E736E">
              <w:rPr>
                <w:rFonts w:asciiTheme="majorHAnsi" w:hAnsiTheme="majorHAnsi" w:cstheme="majorHAnsi"/>
                <w:b/>
              </w:rPr>
              <w:t>Expected Outcomes</w:t>
            </w:r>
          </w:p>
          <w:p w14:paraId="1510A7A0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Increased access to the curriculum </w:t>
            </w:r>
          </w:p>
          <w:p w14:paraId="3AFB6138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Increased retention of key instructions and information </w:t>
            </w:r>
          </w:p>
          <w:p w14:paraId="58CD6EBE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Improved access to learning</w:t>
            </w:r>
          </w:p>
          <w:p w14:paraId="5C1E6136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Improved engagement and desire to learn/</w:t>
            </w:r>
            <w:proofErr w:type="gramStart"/>
            <w:r w:rsidRPr="000E736E">
              <w:rPr>
                <w:rFonts w:asciiTheme="majorHAnsi" w:hAnsiTheme="majorHAnsi" w:cstheme="majorHAnsi"/>
              </w:rPr>
              <w:t>motivation</w:t>
            </w:r>
            <w:proofErr w:type="gramEnd"/>
          </w:p>
          <w:p w14:paraId="14844DEE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Increase range of secure concepts </w:t>
            </w:r>
          </w:p>
          <w:p w14:paraId="32AE59DC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Able to apply strategies of what to do when unsure or unclear about </w:t>
            </w:r>
            <w:proofErr w:type="gramStart"/>
            <w:r w:rsidRPr="000E736E">
              <w:rPr>
                <w:rFonts w:asciiTheme="majorHAnsi" w:hAnsiTheme="majorHAnsi" w:cstheme="majorHAnsi"/>
              </w:rPr>
              <w:t>learning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65BA21D0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Able to predict/recount content of </w:t>
            </w:r>
            <w:proofErr w:type="gramStart"/>
            <w:r w:rsidRPr="000E736E">
              <w:rPr>
                <w:rFonts w:asciiTheme="majorHAnsi" w:hAnsiTheme="majorHAnsi" w:cstheme="majorHAnsi"/>
              </w:rPr>
              <w:t>lesson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30B0210C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Ability to work independently</w:t>
            </w:r>
          </w:p>
        </w:tc>
        <w:tc>
          <w:tcPr>
            <w:tcW w:w="7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F0A631" w14:textId="77777777" w:rsidR="00680F96" w:rsidRDefault="00680F96" w:rsidP="00A47192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7E24A806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Able to record information in a variety of </w:t>
            </w:r>
            <w:proofErr w:type="gramStart"/>
            <w:r w:rsidRPr="000E736E">
              <w:rPr>
                <w:rFonts w:asciiTheme="majorHAnsi" w:hAnsiTheme="majorHAnsi" w:cstheme="majorHAnsi"/>
              </w:rPr>
              <w:t>ways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5F4EE2B1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Increase in confidence and self </w:t>
            </w:r>
            <w:proofErr w:type="gramStart"/>
            <w:r w:rsidRPr="000E736E">
              <w:rPr>
                <w:rFonts w:asciiTheme="majorHAnsi" w:hAnsiTheme="majorHAnsi" w:cstheme="majorHAnsi"/>
              </w:rPr>
              <w:t>esteem</w:t>
            </w:r>
            <w:proofErr w:type="gramEnd"/>
            <w:r w:rsidRPr="000E736E">
              <w:rPr>
                <w:rFonts w:asciiTheme="majorHAnsi" w:hAnsiTheme="majorHAnsi" w:cstheme="majorHAnsi"/>
              </w:rPr>
              <w:t xml:space="preserve"> </w:t>
            </w:r>
          </w:p>
          <w:p w14:paraId="705B8B85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Reduction in anxiety</w:t>
            </w:r>
          </w:p>
          <w:p w14:paraId="03046AC0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 Decrease in number of frustrated and/or aggressive </w:t>
            </w:r>
            <w:proofErr w:type="gramStart"/>
            <w:r w:rsidRPr="000E736E">
              <w:rPr>
                <w:rFonts w:asciiTheme="majorHAnsi" w:hAnsiTheme="majorHAnsi" w:cstheme="majorHAnsi"/>
              </w:rPr>
              <w:t>behaviours</w:t>
            </w:r>
            <w:proofErr w:type="gramEnd"/>
          </w:p>
          <w:p w14:paraId="5B7FFDEC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Improved listening and attention </w:t>
            </w:r>
          </w:p>
          <w:p w14:paraId="583D2D16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Increased self -confidence and self -esteem</w:t>
            </w:r>
          </w:p>
          <w:p w14:paraId="3DF79A7B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 xml:space="preserve">Improved social inclusion Positive response from pupil </w:t>
            </w:r>
            <w:proofErr w:type="gramStart"/>
            <w:r w:rsidRPr="000E736E">
              <w:rPr>
                <w:rFonts w:asciiTheme="majorHAnsi" w:hAnsiTheme="majorHAnsi" w:cstheme="majorHAnsi"/>
              </w:rPr>
              <w:t>voice</w:t>
            </w:r>
            <w:proofErr w:type="gramEnd"/>
          </w:p>
          <w:p w14:paraId="5EEE3354" w14:textId="77777777" w:rsidR="00680F96" w:rsidRPr="000E736E" w:rsidRDefault="00680F96" w:rsidP="00680F9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0E736E">
              <w:rPr>
                <w:rFonts w:asciiTheme="majorHAnsi" w:hAnsiTheme="majorHAnsi" w:cstheme="majorHAnsi"/>
              </w:rPr>
              <w:t>Improved attainment</w:t>
            </w:r>
          </w:p>
        </w:tc>
      </w:tr>
    </w:tbl>
    <w:p w14:paraId="2DA7B895" w14:textId="77777777" w:rsidR="00680F96" w:rsidRDefault="00680F96" w:rsidP="00680F96">
      <w:pPr>
        <w:rPr>
          <w:rFonts w:asciiTheme="majorHAnsi" w:hAnsiTheme="majorHAnsi" w:cstheme="majorHAnsi"/>
        </w:rPr>
      </w:pPr>
    </w:p>
    <w:p w14:paraId="7CCAFE7A" w14:textId="77777777" w:rsidR="008B1EB6" w:rsidRDefault="008B1EB6"/>
    <w:sectPr w:rsidR="008B1EB6" w:rsidSect="00680F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60F3" w14:textId="77777777" w:rsidR="006C2C0E" w:rsidRDefault="006C2C0E" w:rsidP="00680F96">
      <w:pPr>
        <w:spacing w:after="0" w:line="240" w:lineRule="auto"/>
      </w:pPr>
      <w:r>
        <w:separator/>
      </w:r>
    </w:p>
  </w:endnote>
  <w:endnote w:type="continuationSeparator" w:id="0">
    <w:p w14:paraId="127946A5" w14:textId="77777777" w:rsidR="006C2C0E" w:rsidRDefault="006C2C0E" w:rsidP="00680F96">
      <w:pPr>
        <w:spacing w:after="0" w:line="240" w:lineRule="auto"/>
      </w:pPr>
      <w:r>
        <w:continuationSeparator/>
      </w:r>
    </w:p>
  </w:endnote>
  <w:endnote w:type="continuationNotice" w:id="1">
    <w:p w14:paraId="060BD18D" w14:textId="77777777" w:rsidR="00AE7ADA" w:rsidRDefault="00AE7A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BE5A" w14:textId="77777777" w:rsidR="00680F96" w:rsidRDefault="00680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6D55" w14:textId="77777777" w:rsidR="00680F96" w:rsidRDefault="00680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9AD3" w14:textId="77777777" w:rsidR="00680F96" w:rsidRDefault="00680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6469" w14:textId="77777777" w:rsidR="006C2C0E" w:rsidRDefault="006C2C0E" w:rsidP="00680F96">
      <w:pPr>
        <w:spacing w:after="0" w:line="240" w:lineRule="auto"/>
      </w:pPr>
      <w:r>
        <w:separator/>
      </w:r>
    </w:p>
  </w:footnote>
  <w:footnote w:type="continuationSeparator" w:id="0">
    <w:p w14:paraId="23099AB9" w14:textId="77777777" w:rsidR="006C2C0E" w:rsidRDefault="006C2C0E" w:rsidP="00680F96">
      <w:pPr>
        <w:spacing w:after="0" w:line="240" w:lineRule="auto"/>
      </w:pPr>
      <w:r>
        <w:continuationSeparator/>
      </w:r>
    </w:p>
  </w:footnote>
  <w:footnote w:type="continuationNotice" w:id="1">
    <w:p w14:paraId="770D85B1" w14:textId="77777777" w:rsidR="00AE7ADA" w:rsidRDefault="00AE7A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03A1" w14:textId="77777777" w:rsidR="00680F96" w:rsidRDefault="00680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CC14" w14:textId="0AD366C4" w:rsidR="00680F96" w:rsidRDefault="00680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D5C6" w14:textId="77777777" w:rsidR="00680F96" w:rsidRDefault="00680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647"/>
    <w:multiLevelType w:val="hybridMultilevel"/>
    <w:tmpl w:val="F5E2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ACF"/>
    <w:multiLevelType w:val="hybridMultilevel"/>
    <w:tmpl w:val="A1D26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564B"/>
    <w:multiLevelType w:val="hybridMultilevel"/>
    <w:tmpl w:val="60F8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7060"/>
    <w:multiLevelType w:val="hybridMultilevel"/>
    <w:tmpl w:val="A1D26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C76D7"/>
    <w:multiLevelType w:val="hybridMultilevel"/>
    <w:tmpl w:val="A1D26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E26"/>
    <w:multiLevelType w:val="hybridMultilevel"/>
    <w:tmpl w:val="59A6B5D4"/>
    <w:lvl w:ilvl="0" w:tplc="10C4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05AD"/>
    <w:multiLevelType w:val="hybridMultilevel"/>
    <w:tmpl w:val="3DFAF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749F4"/>
    <w:multiLevelType w:val="hybridMultilevel"/>
    <w:tmpl w:val="EA8EE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398863">
    <w:abstractNumId w:val="6"/>
  </w:num>
  <w:num w:numId="2" w16cid:durableId="1206062021">
    <w:abstractNumId w:val="0"/>
  </w:num>
  <w:num w:numId="3" w16cid:durableId="1095326564">
    <w:abstractNumId w:val="7"/>
  </w:num>
  <w:num w:numId="4" w16cid:durableId="1109004100">
    <w:abstractNumId w:val="5"/>
  </w:num>
  <w:num w:numId="5" w16cid:durableId="1560941553">
    <w:abstractNumId w:val="2"/>
  </w:num>
  <w:num w:numId="6" w16cid:durableId="1205867371">
    <w:abstractNumId w:val="3"/>
  </w:num>
  <w:num w:numId="7" w16cid:durableId="403115087">
    <w:abstractNumId w:val="1"/>
  </w:num>
  <w:num w:numId="8" w16cid:durableId="1714190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96"/>
    <w:rsid w:val="0000480C"/>
    <w:rsid w:val="00332718"/>
    <w:rsid w:val="003E005F"/>
    <w:rsid w:val="004715A5"/>
    <w:rsid w:val="00680F96"/>
    <w:rsid w:val="006C2C0E"/>
    <w:rsid w:val="0082300B"/>
    <w:rsid w:val="008B1EB6"/>
    <w:rsid w:val="00AE7ADA"/>
    <w:rsid w:val="00CC7696"/>
    <w:rsid w:val="04F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D9541"/>
  <w15:chartTrackingRefBased/>
  <w15:docId w15:val="{C9F23026-D5CD-46F4-B372-E92BA53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F96"/>
    <w:pPr>
      <w:ind w:left="720"/>
      <w:contextualSpacing/>
    </w:pPr>
  </w:style>
  <w:style w:type="character" w:customStyle="1" w:styleId="normaltextrun">
    <w:name w:val="normaltextrun"/>
    <w:basedOn w:val="DefaultParagraphFont"/>
    <w:rsid w:val="00680F96"/>
  </w:style>
  <w:style w:type="paragraph" w:styleId="Header">
    <w:name w:val="header"/>
    <w:basedOn w:val="Normal"/>
    <w:link w:val="HeaderChar"/>
    <w:uiPriority w:val="99"/>
    <w:unhideWhenUsed/>
    <w:rsid w:val="0068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96"/>
  </w:style>
  <w:style w:type="paragraph" w:styleId="Footer">
    <w:name w:val="footer"/>
    <w:basedOn w:val="Normal"/>
    <w:link w:val="FooterChar"/>
    <w:uiPriority w:val="99"/>
    <w:unhideWhenUsed/>
    <w:rsid w:val="00680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uncilfordisabledchildren.org.uk/work-us/membership/meet-our-members/british-institute-learning-disabilities-bil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dyslexia-spldtrust.org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dadyslexia.org.uk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CD0E6882657478F7569BD1666CFD2" ma:contentTypeVersion="5" ma:contentTypeDescription="Create a new document." ma:contentTypeScope="" ma:versionID="7a40cb2b5f1131a1f6e19f6e15d66eae">
  <xsd:schema xmlns:xsd="http://www.w3.org/2001/XMLSchema" xmlns:xs="http://www.w3.org/2001/XMLSchema" xmlns:p="http://schemas.microsoft.com/office/2006/metadata/properties" xmlns:ns2="967c5020-2937-4e43-b040-2e3d7771b134" xmlns:ns3="a839f67b-47a7-43dd-903d-2fe6103bea18" targetNamespace="http://schemas.microsoft.com/office/2006/metadata/properties" ma:root="true" ma:fieldsID="ac3dd600cd1c9bb724e9348c97b79845" ns2:_="" ns3:_="">
    <xsd:import namespace="967c5020-2937-4e43-b040-2e3d7771b134"/>
    <xsd:import namespace="a839f67b-47a7-43dd-903d-2fe6103be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c5020-2937-4e43-b040-2e3d7771b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f67b-47a7-43dd-903d-2fe6103be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A5D6C-5D15-4CB6-871A-0F563825B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C8278-B0FF-425F-A404-BDF76921B688}">
  <ds:schemaRefs>
    <ds:schemaRef ds:uri="http://schemas.openxmlformats.org/package/2006/metadata/core-properties"/>
    <ds:schemaRef ds:uri="http://purl.org/dc/terms/"/>
    <ds:schemaRef ds:uri="967c5020-2937-4e43-b040-2e3d7771b134"/>
    <ds:schemaRef ds:uri="a839f67b-47a7-43dd-903d-2fe6103bea1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ABE749-36EB-4652-9FD1-5882142D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c5020-2937-4e43-b040-2e3d7771b134"/>
    <ds:schemaRef ds:uri="a839f67b-47a7-43dd-903d-2fe6103be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Loveland</dc:creator>
  <cp:keywords/>
  <dc:description/>
  <cp:lastModifiedBy>Emma Thornbery</cp:lastModifiedBy>
  <cp:revision>2</cp:revision>
  <dcterms:created xsi:type="dcterms:W3CDTF">2023-09-21T13:32:00Z</dcterms:created>
  <dcterms:modified xsi:type="dcterms:W3CDTF">2023-09-21T13:32:00Z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b67412-a13c-4d7c-ac56-e8546c9a5d4b_Enabled">
    <vt:lpwstr>true</vt:lpwstr>
  </property>
  <property fmtid="{D5CDD505-2E9C-101B-9397-08002B2CF9AE}" pid="3" name="MSIP_Label_d7b67412-a13c-4d7c-ac56-e8546c9a5d4b_SetDate">
    <vt:lpwstr>2023-07-14T09:41:50Z</vt:lpwstr>
  </property>
  <property fmtid="{D5CDD505-2E9C-101B-9397-08002B2CF9AE}" pid="4" name="MSIP_Label_d7b67412-a13c-4d7c-ac56-e8546c9a5d4b_Method">
    <vt:lpwstr>Privileged</vt:lpwstr>
  </property>
  <property fmtid="{D5CDD505-2E9C-101B-9397-08002B2CF9AE}" pid="5" name="MSIP_Label_d7b67412-a13c-4d7c-ac56-e8546c9a5d4b_Name">
    <vt:lpwstr>Public</vt:lpwstr>
  </property>
  <property fmtid="{D5CDD505-2E9C-101B-9397-08002B2CF9AE}" pid="6" name="MSIP_Label_d7b67412-a13c-4d7c-ac56-e8546c9a5d4b_SiteId">
    <vt:lpwstr>07ebc6c3-7074-4387-a625-b9d918ba4a97</vt:lpwstr>
  </property>
  <property fmtid="{D5CDD505-2E9C-101B-9397-08002B2CF9AE}" pid="7" name="MSIP_Label_d7b67412-a13c-4d7c-ac56-e8546c9a5d4b_ActionId">
    <vt:lpwstr>763f76e3-0958-4b4f-a52d-3053f60e9562</vt:lpwstr>
  </property>
  <property fmtid="{D5CDD505-2E9C-101B-9397-08002B2CF9AE}" pid="8" name="MSIP_Label_d7b67412-a13c-4d7c-ac56-e8546c9a5d4b_ContentBits">
    <vt:lpwstr>0</vt:lpwstr>
  </property>
  <property fmtid="{D5CDD505-2E9C-101B-9397-08002B2CF9AE}" pid="9" name="ContentTypeId">
    <vt:lpwstr>0x01010012ACD0E6882657478F7569BD1666CFD2</vt:lpwstr>
  </property>
</Properties>
</file>